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DC6458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  <w:r w:rsidRPr="00D40C36">
        <w:rPr>
          <w:rFonts w:ascii="Arial Narrow" w:hAnsi="Arial Narrow" w:cs="Arial"/>
          <w:b/>
          <w:sz w:val="18"/>
          <w:szCs w:val="18"/>
        </w:rPr>
        <w:t>Załącznik nr 2</w:t>
      </w:r>
      <w:r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E86447" w:rsidRPr="00E86447">
        <w:rPr>
          <w:rFonts w:ascii="Arial Narrow" w:hAnsi="Arial Narrow" w:cs="Arial"/>
          <w:b/>
          <w:sz w:val="18"/>
          <w:szCs w:val="18"/>
        </w:rPr>
        <w:t>DO-140.362/107/17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5</cp:revision>
  <cp:lastPrinted>2017-04-10T07:21:00Z</cp:lastPrinted>
  <dcterms:created xsi:type="dcterms:W3CDTF">2017-05-31T11:39:00Z</dcterms:created>
  <dcterms:modified xsi:type="dcterms:W3CDTF">2017-06-01T06:22:00Z</dcterms:modified>
</cp:coreProperties>
</file>